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Местные нормативы</w:t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  <w:t>градостроительного проектирования  сельского поселения Падовка  муниципального района Пестравский Самарской области</w:t>
      </w:r>
    </w:p>
    <w:p>
      <w:pPr>
        <w:pStyle w:val="style24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4"/>
        <w:jc w:val="center"/>
      </w:pPr>
      <w:r>
        <w:rPr>
          <w:rFonts w:ascii="Times New Roman" w:cs="Times New Roman" w:hAnsi="Times New Roman"/>
          <w:sz w:val="28"/>
          <w:szCs w:val="28"/>
        </w:rPr>
        <w:t>1. Общие положения</w:t>
      </w:r>
    </w:p>
    <w:p>
      <w:pPr>
        <w:pStyle w:val="style24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4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1.1. Настоящие местные нормативы градостроительного проектирования муниципального района Пестравский Самарской области (далее также - местные нормативы) разработаны в соответствии с положениями </w:t>
      </w:r>
      <w:hyperlink r:id="rId2">
        <w:r>
          <w:rPr>
            <w:rStyle w:val="style16"/>
            <w:rFonts w:ascii="Times New Roman" w:cs="Times New Roman" w:hAnsi="Times New Roman"/>
            <w:color w:val="000000"/>
            <w:sz w:val="28"/>
            <w:szCs w:val="28"/>
          </w:rPr>
          <w:t>статей 29.1</w:t>
        </w:r>
      </w:hyperlink>
      <w:r>
        <w:rPr>
          <w:rFonts w:ascii="Times New Roman" w:cs="Times New Roman" w:hAnsi="Times New Roman"/>
          <w:color w:val="000000"/>
          <w:sz w:val="28"/>
          <w:szCs w:val="28"/>
        </w:rPr>
        <w:t xml:space="preserve">, </w:t>
      </w:r>
      <w:hyperlink r:id="rId3">
        <w:r>
          <w:rPr>
            <w:rStyle w:val="style16"/>
            <w:rFonts w:ascii="Times New Roman" w:cs="Times New Roman" w:hAnsi="Times New Roman"/>
            <w:color w:val="000000"/>
            <w:sz w:val="28"/>
            <w:szCs w:val="28"/>
          </w:rPr>
          <w:t>29.</w:t>
        </w:r>
      </w:hyperlink>
      <w:r>
        <w:rPr>
          <w:rFonts w:ascii="Times New Roman" w:cs="Times New Roman" w:hAnsi="Times New Roman"/>
          <w:sz w:val="28"/>
          <w:szCs w:val="28"/>
        </w:rPr>
        <w:t xml:space="preserve">4 Градостроительного кодекса Российской Федерации, </w:t>
      </w:r>
      <w:hyperlink r:id="rId4">
        <w:r>
          <w:rPr>
            <w:rStyle w:val="style16"/>
            <w:rFonts w:ascii="Times New Roman" w:cs="Times New Roman" w:hAnsi="Times New Roman"/>
            <w:sz w:val="28"/>
            <w:szCs w:val="28"/>
          </w:rPr>
          <w:t>Законом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Самарской области от 12 июля 2006 года N 90-ГД "О градостроительной деятельности на территории Самарской области" и устанавливают:</w:t>
      </w:r>
    </w:p>
    <w:p>
      <w:pPr>
        <w:pStyle w:val="style24"/>
        <w:spacing w:after="0" w:before="200"/>
        <w:ind w:firstLine="540" w:left="0" w:right="0"/>
        <w:jc w:val="both"/>
      </w:pPr>
      <w:bookmarkStart w:id="1" w:name="Par36"/>
      <w:bookmarkStart w:id="2" w:name="Par37"/>
      <w:bookmarkEnd w:id="1"/>
      <w:bookmarkEnd w:id="2"/>
      <w:r>
        <w:rPr>
          <w:rFonts w:ascii="Times New Roman" w:cs="Times New Roman" w:hAnsi="Times New Roman"/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 Падовка  муниципального района Пестравский Самарской области.</w:t>
      </w:r>
    </w:p>
    <w:p>
      <w:pPr>
        <w:pStyle w:val="style24"/>
        <w:spacing w:after="0" w:before="200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1.2. Настоящие местные нормативы включают в себя:</w:t>
      </w:r>
    </w:p>
    <w:p>
      <w:pPr>
        <w:pStyle w:val="style24"/>
        <w:spacing w:after="0" w:before="200"/>
        <w:ind w:firstLine="54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основную часть (расчетные показатели и предельные значения расчетных показателей, указанные в </w:t>
      </w:r>
      <w:hyperlink w:anchor="Par36">
        <w:r>
          <w:rPr>
            <w:rStyle w:val="style16"/>
            <w:rFonts w:ascii="Times New Roman" w:cs="Times New Roman" w:hAnsi="Times New Roman"/>
            <w:sz w:val="28"/>
            <w:szCs w:val="28"/>
          </w:rPr>
          <w:t>абзаце втором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пункта 1.1 настоящих местных нормативов); </w:t>
      </w:r>
    </w:p>
    <w:p>
      <w:pPr>
        <w:pStyle w:val="style24"/>
        <w:spacing w:after="0" w:before="200"/>
      </w:pPr>
      <w:r>
        <w:rPr>
          <w:rFonts w:ascii="Times New Roman" w:cs="Times New Roman" w:hAnsi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нормативов.</w:t>
      </w:r>
    </w:p>
    <w:p>
      <w:pPr>
        <w:sectPr>
          <w:headerReference r:id="rId5" w:type="default"/>
          <w:type w:val="nextPage"/>
          <w:pgSz w:h="16838" w:w="11906"/>
          <w:pgMar w:bottom="1134" w:footer="0" w:gutter="0" w:header="0" w:left="1701" w:right="851" w:top="1134"/>
          <w:pgNumType w:fmt="decimal"/>
          <w:formProt w:val="false"/>
          <w:textDirection w:val="lrTb"/>
          <w:docGrid w:charSpace="4096" w:linePitch="240" w:type="default"/>
        </w:sectPr>
        <w:pStyle w:val="style26"/>
      </w:pPr>
      <w:r>
        <w:rPr/>
      </w:r>
    </w:p>
    <w:p>
      <w:pPr>
        <w:pStyle w:val="style24"/>
        <w:jc w:val="center"/>
      </w:pPr>
      <w:r>
        <w:rPr>
          <w:rFonts w:ascii="Times New Roman" w:cs="Times New Roman" w:hAnsi="Times New Roman"/>
          <w:sz w:val="28"/>
          <w:szCs w:val="28"/>
        </w:rPr>
        <w:t>2. Предельные значения расчетных показателей минимально допустимого уровня обеспеченности объектами местного значения населения  сельского поселения Падовка муниципального района Пестравский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района Пестравский</w:t>
      </w:r>
    </w:p>
    <w:p>
      <w:pPr>
        <w:pStyle w:val="style24"/>
        <w:jc w:val="center"/>
      </w:pPr>
      <w:r>
        <w:rPr>
          <w:rFonts w:ascii="Times New Roman" w:cs="Times New Roman" w:hAnsi="Times New Roman"/>
          <w:sz w:val="28"/>
          <w:szCs w:val="28"/>
        </w:rPr>
        <w:t>Самарской области</w:t>
      </w:r>
    </w:p>
    <w:p>
      <w:pPr>
        <w:pStyle w:val="style24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823"/>
        <w:gridCol w:w="1303"/>
        <w:gridCol w:w="7031"/>
        <w:gridCol w:w="1"/>
      </w:tblGrid>
      <w:tr>
        <w:trPr>
          <w:cantSplit w:val="false"/>
        </w:trPr>
        <w:tc>
          <w:tcPr>
            <w:tcW w:type="dxa" w:w="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N п/п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Наименование вида объекта местного значения</w:t>
            </w:r>
          </w:p>
        </w:tc>
        <w:tc>
          <w:tcPr>
            <w:tcW w:type="dxa" w:w="7031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type="dxa" w:w="1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единица измерения</w:t>
            </w:r>
          </w:p>
        </w:tc>
        <w:tc>
          <w:tcPr>
            <w:tcW w:type="dxa" w:w="5783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значение показателя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вид доступности, единица измерения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значение показателя</w:t>
            </w:r>
          </w:p>
        </w:tc>
      </w:tr>
      <w:tr>
        <w:trPr>
          <w:cantSplit w:val="false"/>
        </w:trPr>
        <w:tc>
          <w:tcPr>
            <w:tcW w:type="dxa" w:w="1357"/>
            <w:gridSpan w:val="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образования</w:t>
            </w:r>
          </w:p>
        </w:tc>
      </w:tr>
      <w:tr>
        <w:trPr>
          <w:trHeight w:hRule="atLeast" w:val="657"/>
          <w:cantSplit w:val="false"/>
        </w:trPr>
        <w:tc>
          <w:tcPr>
            <w:tcW w:type="dxa" w:w="823"/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1.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Общеобразовательные организации</w:t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учащихся на 1 тысячу человек</w:t>
            </w:r>
          </w:p>
        </w:tc>
        <w:tc>
          <w:tcPr>
            <w:tcW w:type="dxa" w:w="5783"/>
            <w:gridSpan w:val="9"/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110</w:t>
            </w:r>
          </w:p>
        </w:tc>
        <w:tc>
          <w:tcPr>
            <w:tcW w:type="dxa" w:w="17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пешеходная доступность, метры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населенных пунктах: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783"/>
            <w:gridSpan w:val="9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для учащихся I ступени обучения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для учащихся II и III ступени обучения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783"/>
            <w:gridSpan w:val="9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2 000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4 000</w:t>
            </w:r>
          </w:p>
        </w:tc>
      </w:tr>
      <w:tr>
        <w:trPr>
          <w:trHeight w:hRule="atLeast" w:val="621"/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783"/>
            <w:gridSpan w:val="9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населенных пунктах &lt;*&gt;: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783"/>
            <w:gridSpan w:val="9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для учащихся I ступени обучения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для учащихся II и III ступени обучения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783"/>
            <w:gridSpan w:val="9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30 &lt;**&gt;</w:t>
            </w:r>
          </w:p>
        </w:tc>
      </w:tr>
      <w:tr>
        <w:trPr>
          <w:cantSplit w:val="false"/>
        </w:trPr>
        <w:tc>
          <w:tcPr>
            <w:tcW w:type="dxa" w:w="1357"/>
            <w:gridSpan w:val="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--------------------------------</w:t>
            </w:r>
          </w:p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Примечания:</w:t>
            </w:r>
          </w:p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>
            <w:pPr>
              <w:pStyle w:val="style24"/>
              <w:spacing w:line="276" w:lineRule="auto"/>
              <w:jc w:val="both"/>
            </w:pPr>
            <w:r>
              <w:rPr>
                <w:rFonts w:ascii="Times New Roman" w:cs="Times New Roman" w:hAnsi="Times New Roman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>
        <w:trPr>
          <w:trHeight w:hRule="atLeast" w:val="1150"/>
          <w:cantSplit w:val="false"/>
        </w:trPr>
        <w:tc>
          <w:tcPr>
            <w:tcW w:type="dxa" w:w="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2.</w:t>
            </w:r>
          </w:p>
        </w:tc>
        <w:tc>
          <w:tcPr>
            <w:tcW w:type="dxa" w:w="1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Дошкольные образовательные организации</w:t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мест на 1 тысячу человек</w:t>
            </w:r>
          </w:p>
        </w:tc>
        <w:tc>
          <w:tcPr>
            <w:tcW w:type="dxa" w:w="5783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55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пешеходная доступность, метры</w:t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населенных пунктах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500</w:t>
            </w:r>
          </w:p>
        </w:tc>
      </w:tr>
      <w:tr>
        <w:trPr>
          <w:cantSplit w:val="false"/>
        </w:trPr>
        <w:tc>
          <w:tcPr>
            <w:tcW w:type="dxa" w:w="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3.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Организации дополнительного образования детей</w:t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мест на 1 тысячу человек</w:t>
            </w:r>
          </w:p>
        </w:tc>
        <w:tc>
          <w:tcPr>
            <w:tcW w:type="dxa" w:w="5783"/>
            <w:gridSpan w:val="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45</w:t>
            </w:r>
          </w:p>
        </w:tc>
        <w:tc>
          <w:tcPr>
            <w:tcW w:type="dxa" w:w="17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783"/>
            <w:gridSpan w:val="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иных населенных пунктах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1357"/>
            <w:gridSpan w:val="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физической культуры и массового спорта</w:t>
            </w:r>
          </w:p>
        </w:tc>
      </w:tr>
      <w:tr>
        <w:trPr>
          <w:cantSplit w:val="false"/>
        </w:trPr>
        <w:tc>
          <w:tcPr>
            <w:tcW w:type="dxa" w:w="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4.</w:t>
            </w:r>
          </w:p>
        </w:tc>
        <w:tc>
          <w:tcPr>
            <w:tcW w:type="dxa" w:w="1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Физкультурно-спортивные залы</w:t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квадратные метры общей площади пола на 1 тысячу человек</w:t>
            </w:r>
          </w:p>
        </w:tc>
        <w:tc>
          <w:tcPr>
            <w:tcW w:type="dxa" w:w="5783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350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rPr>
          <w:cantSplit w:val="false"/>
        </w:trPr>
        <w:tc>
          <w:tcPr>
            <w:tcW w:type="dxa" w:w="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5.</w:t>
            </w:r>
          </w:p>
        </w:tc>
        <w:tc>
          <w:tcPr>
            <w:tcW w:type="dxa" w:w="1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Плоскостные физкультурно-спортивные сооружения</w:t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квадратные метры на 1 тысячу человек</w:t>
            </w:r>
          </w:p>
        </w:tc>
        <w:tc>
          <w:tcPr>
            <w:tcW w:type="dxa" w:w="5783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2000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пешеходная доступность, метры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1 000</w:t>
            </w:r>
          </w:p>
        </w:tc>
      </w:tr>
      <w:tr>
        <w:trPr>
          <w:cantSplit w:val="false"/>
        </w:trPr>
        <w:tc>
          <w:tcPr>
            <w:tcW w:type="dxa" w:w="1357"/>
            <w:gridSpan w:val="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библиотечного обслуживания</w:t>
            </w:r>
          </w:p>
        </w:tc>
      </w:tr>
      <w:tr>
        <w:trPr>
          <w:cantSplit w:val="false"/>
        </w:trPr>
        <w:tc>
          <w:tcPr>
            <w:tcW w:type="dxa" w:w="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6.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объектов</w:t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 на каждую 1 тысячу населения</w:t>
            </w:r>
          </w:p>
        </w:tc>
        <w:tc>
          <w:tcPr>
            <w:tcW w:type="dxa" w:w="17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30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 с филиалом в данном населенном пункте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 филиал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 отдел внестационарного обслуживания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при населении, тысяч человек</w:t>
            </w:r>
          </w:p>
        </w:tc>
        <w:tc>
          <w:tcPr>
            <w:tcW w:type="dxa" w:w="215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единиц хранения в тысячах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читательских мест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свыше 1 до 2</w:t>
            </w:r>
          </w:p>
        </w:tc>
        <w:tc>
          <w:tcPr>
            <w:tcW w:type="dxa" w:w="215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6 - 7,5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5 - 6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свыше 2 до 5</w:t>
            </w:r>
          </w:p>
        </w:tc>
        <w:tc>
          <w:tcPr>
            <w:tcW w:type="dxa" w:w="215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5 - 6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4 - 5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свыше 5 до 10</w:t>
            </w:r>
          </w:p>
        </w:tc>
        <w:tc>
          <w:tcPr>
            <w:tcW w:type="dxa" w:w="2154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4,5 - 5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3 - 4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783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Примечания:</w:t>
            </w:r>
          </w:p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1. Дополнительно в центральной библиотеке сельского поселения на 1 тысячу человек: 4,5 - 5 тысячи единиц хранения, 3 - 4 читательских места.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hRule="atLeast" w:val="2070"/>
          <w:cantSplit w:val="false"/>
        </w:trPr>
        <w:tc>
          <w:tcPr>
            <w:tcW w:type="dxa" w:w="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7.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Детские библиотеки</w:t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объектов</w:t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 на каждую 1 тысячу детского населения</w:t>
            </w:r>
          </w:p>
        </w:tc>
        <w:tc>
          <w:tcPr>
            <w:tcW w:type="dxa" w:w="17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30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иных населенных пунктах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иных населенных пунктах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trHeight w:hRule="atLeast" w:val="597"/>
          <w:cantSplit w:val="false"/>
        </w:trPr>
        <w:tc>
          <w:tcPr>
            <w:tcW w:type="dxa" w:w="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Юношеские библиотеки</w:t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объектов</w:t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иных населенных пунктах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  <w:tc>
          <w:tcPr>
            <w:tcW w:type="dxa" w:w="17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783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Примечание: в муниципальном районе детская и юношеская библиотеки должны быть должны быть объединенные библиотеки для детей и юношества.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357"/>
            <w:gridSpan w:val="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культуры и искусства</w:t>
            </w:r>
          </w:p>
        </w:tc>
      </w:tr>
      <w:tr>
        <w:trPr>
          <w:cantSplit w:val="false"/>
        </w:trPr>
        <w:tc>
          <w:tcPr>
            <w:tcW w:type="dxa" w:w="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Учреждения культуры клубного типа сельских поселений</w:t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мест</w:t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поселениях с числом жителей до 500 человек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 зрительских мест на каждые 100 жителей</w:t>
            </w:r>
          </w:p>
        </w:tc>
        <w:tc>
          <w:tcPr>
            <w:tcW w:type="dxa" w:w="17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type="dxa" w:w="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30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150 - 200 зрительских мест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100 зрительских мест на 1 тысячу жителей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сельских поселениях с числом жителей от 5 тысяч человек и более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70 зрительских мест на 1 тысячу жителей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иных населенных пунктах</w:t>
            </w:r>
          </w:p>
        </w:tc>
        <w:tc>
          <w:tcPr>
            <w:tcW w:type="dxa" w:w="1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 с числом жителей до 100 человек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передвижная форма обслуживания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357"/>
            <w:gridSpan w:val="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>
        <w:trPr>
          <w:cantSplit w:val="false"/>
        </w:trPr>
        <w:tc>
          <w:tcPr>
            <w:tcW w:type="dxa" w:w="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10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type="dxa" w:w="1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квадратный метр на 1 человека</w:t>
            </w:r>
          </w:p>
        </w:tc>
        <w:tc>
          <w:tcPr>
            <w:tcW w:type="dxa" w:w="5783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пешеходная доступность, метры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1 000</w:t>
            </w:r>
          </w:p>
        </w:tc>
      </w:tr>
      <w:tr>
        <w:trPr>
          <w:cantSplit w:val="false"/>
        </w:trPr>
        <w:tc>
          <w:tcPr>
            <w:tcW w:type="dxa" w:w="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11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Парки культуры и отдыха</w:t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количество объектов</w:t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17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транспортная доступность, минуты</w:t>
            </w:r>
          </w:p>
        </w:tc>
        <w:tc>
          <w:tcPr>
            <w:tcW w:type="dxa" w:w="1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</w:t>
            </w:r>
          </w:p>
        </w:tc>
      </w:tr>
      <w:tr>
        <w:trPr>
          <w:trHeight w:hRule="atLeast" w:val="280"/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 иных населенных пунктах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357"/>
            <w:gridSpan w:val="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обеспечения объектами транспортной инфраструктуры</w:t>
            </w:r>
          </w:p>
        </w:tc>
      </w:tr>
      <w:tr>
        <w:trPr>
          <w:cantSplit w:val="false"/>
        </w:trPr>
        <w:tc>
          <w:tcPr>
            <w:tcW w:type="dxa" w:w="823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12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type="dxa" w:w="1303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Автомобильные дороги местного значения (улично-дорожная сеть)</w:t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type="dxa" w:w="5783"/>
            <w:gridSpan w:val="9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5 &lt;*&gt;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1357"/>
            <w:gridSpan w:val="1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--------------------------------</w:t>
            </w:r>
          </w:p>
          <w:p>
            <w:pPr>
              <w:pStyle w:val="style24"/>
              <w:spacing w:line="276" w:lineRule="auto"/>
              <w:jc w:val="both"/>
            </w:pPr>
            <w:r>
              <w:rPr>
                <w:rFonts w:ascii="Times New Roman" w:cs="Times New Roman" w:hAnsi="Times New Roman"/>
              </w:rPr>
              <w:t>&lt;*&gt; Примечание: при расчете обеспеченности учитываются автомобильные дороги</w:t>
            </w:r>
          </w:p>
          <w:p>
            <w:pPr>
              <w:pStyle w:val="style24"/>
              <w:spacing w:line="276" w:lineRule="auto"/>
              <w:jc w:val="both"/>
            </w:pPr>
            <w:r>
              <w:rPr>
                <w:rFonts w:ascii="Times New Roman" w:cs="Times New Roman" w:hAnsi="Times New Roman"/>
              </w:rPr>
              <w:t>общего пользования федерального значения, автомобильные дороги общего</w:t>
            </w:r>
          </w:p>
          <w:p>
            <w:pPr>
              <w:pStyle w:val="style24"/>
              <w:spacing w:line="276" w:lineRule="auto"/>
              <w:jc w:val="both"/>
            </w:pPr>
            <w:r>
              <w:rPr>
                <w:rFonts w:ascii="Times New Roman" w:cs="Times New Roman" w:hAnsi="Times New Roman"/>
              </w:rPr>
              <w:t>пользования регионального или межмуниципального значения, автомобильные</w:t>
            </w:r>
          </w:p>
          <w:p>
            <w:pPr>
              <w:pStyle w:val="style24"/>
              <w:spacing w:line="276" w:lineRule="auto"/>
              <w:jc w:val="both"/>
            </w:pPr>
            <w:r>
              <w:rPr>
                <w:rFonts w:ascii="Times New Roman" w:cs="Times New Roman" w:hAnsi="Times New Roman"/>
              </w:rPr>
              <w:t>дороги местного значения муниципального района, находящиеся в границах</w:t>
            </w:r>
          </w:p>
          <w:p>
            <w:pPr>
              <w:pStyle w:val="style24"/>
              <w:spacing w:line="276" w:lineRule="auto"/>
              <w:jc w:val="both"/>
            </w:pPr>
            <w:r>
              <w:rPr>
                <w:rFonts w:ascii="Times New Roman" w:cs="Times New Roman" w:hAnsi="Times New Roman"/>
              </w:rPr>
              <w:t>населенных пунктов.</w:t>
            </w:r>
          </w:p>
        </w:tc>
      </w:tr>
      <w:tr>
        <w:trPr>
          <w:cantSplit w:val="false"/>
        </w:trPr>
        <w:tc>
          <w:tcPr>
            <w:tcW w:type="dxa" w:w="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13.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Стоянки и парковки (парковочные места) общего пользования</w:t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уровень обеспеченности в процентах</w:t>
            </w:r>
          </w:p>
        </w:tc>
        <w:tc>
          <w:tcPr>
            <w:tcW w:type="dxa" w:w="5783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Из расчета не менее чем для 70% расчетного парка индивидуальных легковых автомобилей, в том числе, %:</w:t>
            </w:r>
          </w:p>
        </w:tc>
        <w:tc>
          <w:tcPr>
            <w:tcW w:type="dxa" w:w="17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пешеходная доступность, м</w:t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до входов в жилые дома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100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жилые районы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до входов в пассажирские помещения вокзалов, входов в места крупных</w:t>
            </w:r>
          </w:p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учреждений торговли и общественного питания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150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промышленные и коммунально-складские зоны (районы)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зоны массового кратковременного отдыха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до входов в парки, на выставки и стадионы</w:t>
            </w:r>
          </w:p>
        </w:tc>
        <w:tc>
          <w:tcPr>
            <w:tcW w:type="dxa" w:w="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400</w:t>
            </w:r>
          </w:p>
        </w:tc>
      </w:tr>
      <w:tr>
        <w:trPr>
          <w:cantSplit w:val="false"/>
        </w:trPr>
        <w:tc>
          <w:tcPr>
            <w:tcW w:type="dxa" w:w="1357"/>
            <w:gridSpan w:val="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обращения с отходами</w:t>
            </w:r>
          </w:p>
        </w:tc>
      </w:tr>
      <w:tr>
        <w:trPr>
          <w:cantSplit w:val="false"/>
        </w:trPr>
        <w:tc>
          <w:tcPr>
            <w:tcW w:type="dxa" w:w="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14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type="dxa" w:w="221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Твердые бытовые отходы:</w:t>
            </w:r>
          </w:p>
        </w:tc>
        <w:tc>
          <w:tcPr>
            <w:tcW w:type="dxa" w:w="13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кг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литры</w:t>
            </w:r>
          </w:p>
        </w:tc>
        <w:tc>
          <w:tcPr>
            <w:tcW w:type="dxa" w:w="17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7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1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type="dxa" w:w="13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190 - 225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900 - 1000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1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 от прочих жилых зданий</w:t>
            </w:r>
          </w:p>
        </w:tc>
        <w:tc>
          <w:tcPr>
            <w:tcW w:type="dxa" w:w="13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300 - 450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1100 - 1500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1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Общее количество с учетом общественных зданий</w:t>
            </w:r>
          </w:p>
        </w:tc>
        <w:tc>
          <w:tcPr>
            <w:tcW w:type="dxa" w:w="13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280 - 300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1400 - 1500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1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Жидкие из выгребов (при отсутствии канализации)</w:t>
            </w:r>
          </w:p>
        </w:tc>
        <w:tc>
          <w:tcPr>
            <w:tcW w:type="dxa" w:w="13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2000 - 35000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21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Смет с 1 кв. м твердых покрытий улиц, площадей и парков</w:t>
            </w:r>
          </w:p>
        </w:tc>
        <w:tc>
          <w:tcPr>
            <w:tcW w:type="dxa" w:w="13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5 - 15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8 - 20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783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357"/>
            <w:gridSpan w:val="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обеспечения инженерной и коммунальной инфраструктурой15</w:t>
            </w:r>
          </w:p>
        </w:tc>
      </w:tr>
      <w:tr>
        <w:trPr>
          <w:cantSplit w:val="false"/>
        </w:trPr>
        <w:tc>
          <w:tcPr>
            <w:tcW w:type="dxa" w:w="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15.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Объекты электроснабжения</w:t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электропотребление, кВт·ч/год на 1 чел., использование максимума электрической нагрузки, ч/год</w:t>
            </w:r>
          </w:p>
        </w:tc>
        <w:tc>
          <w:tcPr>
            <w:tcW w:type="dxa" w:w="178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Степень благоустройства</w:t>
            </w:r>
          </w:p>
        </w:tc>
        <w:tc>
          <w:tcPr>
            <w:tcW w:type="dxa" w:w="172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Электропотребление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Использование максимума электрической нагрузки</w:t>
            </w:r>
          </w:p>
        </w:tc>
        <w:tc>
          <w:tcPr>
            <w:tcW w:type="dxa" w:w="17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7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5783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Сельские населенные пункты (без кондиционеров)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78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не оборудованные стационарными электроплитами</w:t>
            </w:r>
          </w:p>
        </w:tc>
        <w:tc>
          <w:tcPr>
            <w:tcW w:type="dxa" w:w="172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950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4100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78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оборудованные стационарными электроплитами (100% охвата)</w:t>
            </w:r>
          </w:p>
        </w:tc>
        <w:tc>
          <w:tcPr>
            <w:tcW w:type="dxa" w:w="172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2400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5800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7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16.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Объекты водоснабжения</w:t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type="dxa" w:w="5783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type="dxa" w:w="17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для зданий с местными (квартирными) водонагревателями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200, со снижением до 180 к 2025 году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для объектов обслуживания повседневного пользования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tcW w:type="dxa" w:w="170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"/>
            <w:gridSpan w:val="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17.</w:t>
            </w:r>
          </w:p>
        </w:tc>
        <w:tc>
          <w:tcPr>
            <w:tcW w:type="dxa" w:w="1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Объекты газоснабжения</w:t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type="dxa" w:w="5783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приготовление пищи на плите - 0,5;</w:t>
            </w:r>
          </w:p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горячее водоснабжение с использованием газового проточного водонагревателя - 0,5;</w:t>
            </w:r>
          </w:p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82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18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type="dxa" w:w="130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Объекты теплоснабжения</w:t>
            </w:r>
          </w:p>
        </w:tc>
        <w:tc>
          <w:tcPr>
            <w:tcW w:type="dxa" w:w="124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удельный расход тепловой энергии системой отопления здания, кВт·ч/кв. м, за отопительный период</w:t>
            </w:r>
          </w:p>
        </w:tc>
        <w:tc>
          <w:tcPr>
            <w:tcW w:type="dxa" w:w="2068"/>
            <w:gridSpan w:val="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Вид объекта</w:t>
            </w:r>
          </w:p>
        </w:tc>
        <w:tc>
          <w:tcPr>
            <w:tcW w:type="dxa" w:w="37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Количество этажей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068"/>
            <w:gridSpan w:val="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9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1 - 3</w:t>
            </w:r>
          </w:p>
        </w:tc>
        <w:tc>
          <w:tcPr>
            <w:tcW w:type="dxa" w:w="13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4 - 5</w:t>
            </w:r>
          </w:p>
        </w:tc>
        <w:tc>
          <w:tcPr>
            <w:tcW w:type="dxa" w:w="9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6 - 9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10 и более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72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0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Жилые здания</w:t>
            </w:r>
          </w:p>
        </w:tc>
        <w:tc>
          <w:tcPr>
            <w:tcW w:type="dxa" w:w="9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186</w:t>
            </w:r>
          </w:p>
        </w:tc>
        <w:tc>
          <w:tcPr>
            <w:tcW w:type="dxa" w:w="13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9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72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0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Общеобразовательные организации, медицинские организации</w:t>
            </w:r>
          </w:p>
        </w:tc>
        <w:tc>
          <w:tcPr>
            <w:tcW w:type="dxa" w:w="9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203</w:t>
            </w:r>
          </w:p>
        </w:tc>
        <w:tc>
          <w:tcPr>
            <w:tcW w:type="dxa" w:w="13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9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72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82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30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124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0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Дошкольные образовательные организации</w:t>
            </w:r>
          </w:p>
        </w:tc>
        <w:tc>
          <w:tcPr>
            <w:tcW w:type="dxa" w:w="93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284</w:t>
            </w:r>
          </w:p>
        </w:tc>
        <w:tc>
          <w:tcPr>
            <w:tcW w:type="dxa" w:w="130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9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type="dxa" w:w="2726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357"/>
            <w:gridSpan w:val="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Объекты в области организации ритуальных услуг и содержания мест захоронения</w:t>
            </w:r>
          </w:p>
        </w:tc>
      </w:tr>
      <w:tr>
        <w:trPr>
          <w:cantSplit w:val="false"/>
        </w:trPr>
        <w:tc>
          <w:tcPr>
            <w:tcW w:type="dxa" w:w="8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lang w:val="en-US"/>
              </w:rPr>
              <w:t>19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type="dxa" w:w="13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Кладбища</w:t>
            </w:r>
          </w:p>
        </w:tc>
        <w:tc>
          <w:tcPr>
            <w:tcW w:type="dxa" w:w="12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гектаров на 1 тысячу человек</w:t>
            </w:r>
          </w:p>
        </w:tc>
        <w:tc>
          <w:tcPr>
            <w:tcW w:type="dxa" w:w="3515"/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кладбища традиционного захоронения</w:t>
            </w:r>
          </w:p>
        </w:tc>
        <w:tc>
          <w:tcPr>
            <w:tcW w:type="dxa" w:w="226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0,24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-</w:t>
            </w:r>
          </w:p>
        </w:tc>
        <w:tc>
          <w:tcPr>
            <w:tcW w:type="dxa" w:w="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  <w:spacing w:line="276" w:lineRule="auto"/>
            </w:pPr>
            <w:r>
              <w:rPr>
                <w:rFonts w:ascii="Times New Roman" w:cs="Times New Roman" w:hAnsi="Times New Roman"/>
              </w:rPr>
              <w:t>не устанавливается</w:t>
            </w:r>
          </w:p>
        </w:tc>
      </w:tr>
    </w:tbl>
    <w:p>
      <w:pPr>
        <w:sectPr>
          <w:headerReference r:id="rId6" w:type="default"/>
          <w:type w:val="nextPage"/>
          <w:pgSz w:h="11906" w:orient="landscape" w:w="16838"/>
          <w:pgMar w:bottom="566" w:footer="0" w:gutter="0" w:header="0" w:left="1440" w:right="1440" w:top="1133"/>
          <w:pgNumType w:fmt="decimal"/>
          <w:formProt w:val="false"/>
          <w:textDirection w:val="lrTb"/>
          <w:docGrid w:charSpace="4096" w:linePitch="240" w:type="default"/>
        </w:sectPr>
        <w:pStyle w:val="style0"/>
        <w:spacing w:after="0" w:before="0" w:line="100" w:lineRule="atLeast"/>
      </w:pPr>
      <w:r>
        <w:rPr>
          <w:rFonts w:ascii="Times New Roman" w:hAnsi="Times New Roman"/>
          <w:sz w:val="20"/>
          <w:szCs w:val="20"/>
        </w:rPr>
      </w:r>
    </w:p>
    <w:p>
      <w:pPr>
        <w:pStyle w:val="style0"/>
      </w:pPr>
      <w:r>
        <w:rPr/>
      </w:r>
    </w:p>
    <w:sectPr>
      <w:headerReference r:id="rId7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  <w:p>
    <w:pPr>
      <w:pStyle w:val="style26"/>
    </w:pPr>
    <w:r>
      <w:rPr/>
      <w:t>Проект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  <w:p>
    <w:pPr>
      <w:pStyle w:val="style26"/>
    </w:pPr>
    <w:r>
      <w:rPr/>
      <w:t>Проект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</w:pPr>
    <w:r>
      <w:rPr/>
    </w:r>
  </w:p>
  <w:p>
    <w:pPr>
      <w:pStyle w:val="style26"/>
    </w:pPr>
    <w:r>
      <w:rPr/>
      <w:t>Проект</w:t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Верхний колонтитул Знак"/>
    <w:basedOn w:val="style15"/>
    <w:next w:val="style17"/>
    <w:rPr>
      <w:rFonts w:cs="Times New Roman"/>
      <w:lang w:eastAsia="ru-RU"/>
    </w:rPr>
  </w:style>
  <w:style w:styleId="style18" w:type="character">
    <w:name w:val="Нижний колонтитул Знак"/>
    <w:basedOn w:val="style15"/>
    <w:next w:val="style18"/>
    <w:rPr>
      <w:rFonts w:cs="Times New Roman"/>
      <w:lang w:eastAsia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ConsPlusNormal"/>
    <w:next w:val="style24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SimSun" w:hAnsi="Arial"/>
      <w:color w:val="auto"/>
      <w:sz w:val="20"/>
      <w:szCs w:val="20"/>
      <w:lang w:bidi="ar-SA" w:eastAsia="ru-RU" w:val="ru-RU"/>
    </w:rPr>
  </w:style>
  <w:style w:styleId="style25" w:type="paragraph">
    <w:name w:val="ConsPlusTitle"/>
    <w:next w:val="style25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SimSun" w:hAnsi="Arial"/>
      <w:b/>
      <w:bCs/>
      <w:color w:val="auto"/>
      <w:sz w:val="20"/>
      <w:szCs w:val="20"/>
      <w:lang w:bidi="ar-SA" w:eastAsia="ru-RU" w:val="ru-RU"/>
    </w:rPr>
  </w:style>
  <w:style w:styleId="style26" w:type="paragraph">
    <w:name w:val="Верхний колонтитул"/>
    <w:basedOn w:val="style0"/>
    <w:next w:val="style26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27" w:type="paragraph">
    <w:name w:val="Нижний колонтитул"/>
    <w:basedOn w:val="style0"/>
    <w:next w:val="style2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2017-10-13T05:45:00.00Z</dcterms:created>
  <dc:creator>Елена Гранкина</dc:creator>
  <cp:lastModifiedBy>Елена Гранкина</cp:lastModifiedBy>
  <cp:lastPrinted>2017-11-16T15:03:52.29Z</cp:lastPrinted>
  <dcterms:modified xsi:type="dcterms:W3CDTF">2017-10-13T05:46:00.00Z</dcterms:modified>
  <cp:revision>3</cp:revision>
</cp:coreProperties>
</file>